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A9F" w:rsidRPr="009D198F" w:rsidRDefault="009D198F" w:rsidP="00CE6A9F">
      <w:pPr>
        <w:adjustRightInd w:val="0"/>
        <w:snapToGrid w:val="0"/>
        <w:spacing w:line="520" w:lineRule="exact"/>
        <w:rPr>
          <w:rFonts w:ascii="仿宋_GB2312" w:eastAsia="仿宋_GB2312" w:hAnsi="宋体" w:cs="宋体" w:hint="eastAsia"/>
          <w:bCs/>
          <w:sz w:val="32"/>
          <w:szCs w:val="32"/>
        </w:rPr>
      </w:pPr>
      <w:r w:rsidRPr="009D198F">
        <w:rPr>
          <w:rFonts w:ascii="仿宋_GB2312" w:eastAsia="仿宋_GB2312" w:hAnsi="宋体" w:cs="宋体" w:hint="eastAsia"/>
          <w:bCs/>
          <w:sz w:val="32"/>
          <w:szCs w:val="32"/>
        </w:rPr>
        <w:t>附件3：</w:t>
      </w:r>
    </w:p>
    <w:p w:rsidR="00CE6A9F" w:rsidRDefault="00CE6A9F" w:rsidP="00CE6A9F">
      <w:pPr>
        <w:adjustRightInd w:val="0"/>
        <w:snapToGrid w:val="0"/>
        <w:spacing w:line="520" w:lineRule="exact"/>
        <w:jc w:val="center"/>
        <w:rPr>
          <w:rFonts w:ascii="黑体" w:eastAsia="黑体" w:hAnsi="宋体" w:cs="Times New Roman"/>
          <w:bCs/>
          <w:sz w:val="32"/>
          <w:szCs w:val="32"/>
        </w:rPr>
      </w:pPr>
      <w:r>
        <w:rPr>
          <w:rFonts w:ascii="黑体" w:eastAsia="黑体" w:hAnsi="宋体" w:cs="Times New Roman" w:hint="eastAsia"/>
          <w:bCs/>
          <w:sz w:val="32"/>
          <w:szCs w:val="32"/>
        </w:rPr>
        <w:t>滁州学院教学管理类教学事故认定标准</w:t>
      </w:r>
    </w:p>
    <w:p w:rsidR="00CE6A9F" w:rsidRDefault="00CE6A9F" w:rsidP="00CE6A9F">
      <w:pPr>
        <w:adjustRightInd w:val="0"/>
        <w:snapToGrid w:val="0"/>
        <w:spacing w:line="520" w:lineRule="exact"/>
        <w:rPr>
          <w:rFonts w:ascii="宋体" w:eastAsia="宋体" w:hAnsi="宋体" w:cs="Times New Roman"/>
          <w:b/>
          <w:bCs/>
          <w:sz w:val="24"/>
          <w:szCs w:val="24"/>
        </w:rPr>
      </w:pPr>
      <w:bookmarkStart w:id="0" w:name="_GoBack"/>
      <w:bookmarkEnd w:id="0"/>
    </w:p>
    <w:p w:rsidR="00CE6A9F" w:rsidRDefault="00CE6A9F" w:rsidP="00CE6A9F">
      <w:pPr>
        <w:adjustRightInd w:val="0"/>
        <w:snapToGrid w:val="0"/>
        <w:spacing w:line="520" w:lineRule="exact"/>
        <w:rPr>
          <w:rFonts w:ascii="宋体" w:eastAsia="宋体" w:hAnsi="Calibri" w:cs="Times New Roman"/>
          <w:b/>
          <w:bCs/>
          <w:sz w:val="24"/>
          <w:szCs w:val="24"/>
        </w:rPr>
      </w:pPr>
      <w:r>
        <w:rPr>
          <w:rFonts w:ascii="宋体" w:eastAsia="宋体" w:hAnsi="宋体" w:cs="Times New Roman" w:hint="eastAsia"/>
          <w:b/>
          <w:bCs/>
          <w:sz w:val="24"/>
          <w:szCs w:val="24"/>
        </w:rPr>
        <w:t>（一）教学差错</w:t>
      </w:r>
    </w:p>
    <w:tbl>
      <w:tblPr>
        <w:tblW w:w="5000" w:type="pct"/>
        <w:jc w:val="center"/>
        <w:tblLook w:val="04A0" w:firstRow="1" w:lastRow="0" w:firstColumn="1" w:lastColumn="0" w:noHBand="0" w:noVBand="1"/>
      </w:tblPr>
      <w:tblGrid>
        <w:gridCol w:w="6953"/>
        <w:gridCol w:w="2107"/>
      </w:tblGrid>
      <w:tr w:rsidR="00CE6A9F" w:rsidTr="005642A6">
        <w:trPr>
          <w:jc w:val="center"/>
        </w:trPr>
        <w:tc>
          <w:tcPr>
            <w:tcW w:w="3837"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b/>
                <w:bCs/>
                <w:color w:val="000000"/>
                <w:sz w:val="24"/>
                <w:szCs w:val="24"/>
              </w:rPr>
              <w:t>事故情况</w:t>
            </w:r>
          </w:p>
        </w:tc>
        <w:tc>
          <w:tcPr>
            <w:tcW w:w="1163" w:type="pct"/>
            <w:tcBorders>
              <w:top w:val="single" w:sz="4" w:space="0" w:color="auto"/>
              <w:left w:val="nil"/>
              <w:bottom w:val="single" w:sz="4" w:space="0" w:color="auto"/>
              <w:right w:val="single" w:sz="4" w:space="0" w:color="auto"/>
            </w:tcBorders>
            <w:vAlign w:val="center"/>
          </w:tcPr>
          <w:p w:rsidR="00CE6A9F" w:rsidRDefault="00CE6A9F" w:rsidP="005642A6">
            <w:pPr>
              <w:adjustRightInd w:val="0"/>
              <w:snapToGrid w:val="0"/>
              <w:spacing w:line="520" w:lineRule="exact"/>
              <w:jc w:val="center"/>
              <w:rPr>
                <w:rFonts w:ascii="宋体" w:eastAsia="宋体" w:hAnsi="Calibri" w:cs="Times New Roman"/>
                <w:b/>
                <w:bCs/>
                <w:sz w:val="24"/>
                <w:szCs w:val="24"/>
              </w:rPr>
            </w:pPr>
            <w:r>
              <w:rPr>
                <w:rFonts w:ascii="宋体" w:eastAsia="宋体" w:hAnsi="宋体" w:cs="Times New Roman" w:hint="eastAsia"/>
                <w:b/>
                <w:bCs/>
                <w:sz w:val="24"/>
                <w:szCs w:val="24"/>
              </w:rPr>
              <w:t>责任人</w:t>
            </w:r>
          </w:p>
        </w:tc>
      </w:tr>
      <w:tr w:rsidR="00CE6A9F" w:rsidTr="005642A6">
        <w:trPr>
          <w:jc w:val="center"/>
        </w:trPr>
        <w:tc>
          <w:tcPr>
            <w:tcW w:w="3837"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1.因安排不当造成考试冲突，但未造成严重后果。</w:t>
            </w:r>
          </w:p>
        </w:tc>
        <w:tc>
          <w:tcPr>
            <w:tcW w:w="1163" w:type="pct"/>
            <w:tcBorders>
              <w:top w:val="single" w:sz="4" w:space="0" w:color="auto"/>
              <w:left w:val="nil"/>
              <w:bottom w:val="single" w:sz="4" w:space="0" w:color="auto"/>
              <w:right w:val="single" w:sz="4" w:space="0" w:color="auto"/>
            </w:tcBorders>
            <w:vAlign w:val="center"/>
          </w:tcPr>
          <w:p w:rsidR="00CE6A9F" w:rsidRDefault="00CE6A9F" w:rsidP="005642A6">
            <w:pPr>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相关当事人</w:t>
            </w:r>
          </w:p>
        </w:tc>
      </w:tr>
      <w:tr w:rsidR="00CE6A9F" w:rsidTr="005642A6">
        <w:trPr>
          <w:jc w:val="center"/>
        </w:trPr>
        <w:tc>
          <w:tcPr>
            <w:tcW w:w="3837"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2.因排课失误造成课程冲突，但未造成严重后果。</w:t>
            </w:r>
          </w:p>
        </w:tc>
        <w:tc>
          <w:tcPr>
            <w:tcW w:w="1163" w:type="pct"/>
            <w:tcBorders>
              <w:top w:val="single" w:sz="4" w:space="0" w:color="auto"/>
              <w:left w:val="nil"/>
              <w:bottom w:val="single" w:sz="4" w:space="0" w:color="auto"/>
              <w:right w:val="single" w:sz="4" w:space="0" w:color="auto"/>
            </w:tcBorders>
            <w:vAlign w:val="center"/>
          </w:tcPr>
          <w:p w:rsidR="00CE6A9F" w:rsidRDefault="00CE6A9F" w:rsidP="005642A6">
            <w:pPr>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相关当事人</w:t>
            </w:r>
          </w:p>
        </w:tc>
      </w:tr>
      <w:tr w:rsidR="00CE6A9F" w:rsidTr="005642A6">
        <w:trPr>
          <w:jc w:val="center"/>
        </w:trPr>
        <w:tc>
          <w:tcPr>
            <w:tcW w:w="3837"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3.无特殊原因，未按规定时间提交各类教学管理材料，影响教学工作顺利开展。</w:t>
            </w:r>
          </w:p>
        </w:tc>
        <w:tc>
          <w:tcPr>
            <w:tcW w:w="1163" w:type="pct"/>
            <w:tcBorders>
              <w:top w:val="single" w:sz="4" w:space="0" w:color="auto"/>
              <w:left w:val="nil"/>
              <w:bottom w:val="single" w:sz="4" w:space="0" w:color="auto"/>
              <w:right w:val="single" w:sz="4" w:space="0" w:color="auto"/>
            </w:tcBorders>
            <w:vAlign w:val="center"/>
          </w:tcPr>
          <w:p w:rsidR="00CE6A9F" w:rsidRDefault="00CE6A9F" w:rsidP="005642A6">
            <w:pPr>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相关当事人</w:t>
            </w:r>
          </w:p>
        </w:tc>
      </w:tr>
      <w:tr w:rsidR="00CE6A9F" w:rsidTr="005642A6">
        <w:trPr>
          <w:trHeight w:val="685"/>
          <w:jc w:val="center"/>
        </w:trPr>
        <w:tc>
          <w:tcPr>
            <w:tcW w:w="3837"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adjustRightInd w:val="0"/>
              <w:snapToGrid w:val="0"/>
              <w:spacing w:line="520" w:lineRule="exact"/>
              <w:rPr>
                <w:rFonts w:ascii="宋体" w:eastAsia="宋体" w:hAnsi="Calibri" w:cs="Times New Roman"/>
                <w:color w:val="000000"/>
                <w:sz w:val="24"/>
                <w:szCs w:val="24"/>
              </w:rPr>
            </w:pPr>
            <w:bookmarkStart w:id="1" w:name="OLE_LINK39"/>
            <w:r>
              <w:rPr>
                <w:rFonts w:ascii="宋体" w:eastAsia="宋体" w:hAnsi="宋体" w:cs="Times New Roman" w:hint="eastAsia"/>
                <w:color w:val="000000"/>
                <w:sz w:val="24"/>
                <w:szCs w:val="24"/>
              </w:rPr>
              <w:t>4.</w:t>
            </w:r>
            <w:bookmarkEnd w:id="1"/>
            <w:r>
              <w:rPr>
                <w:rFonts w:ascii="宋体" w:eastAsia="宋体" w:hAnsi="宋体" w:cs="Times New Roman" w:hint="eastAsia"/>
                <w:color w:val="000000"/>
                <w:sz w:val="24"/>
                <w:szCs w:val="24"/>
              </w:rPr>
              <w:t>经认定程度相当的其它教学差错。</w:t>
            </w:r>
          </w:p>
        </w:tc>
        <w:tc>
          <w:tcPr>
            <w:tcW w:w="1163" w:type="pct"/>
            <w:tcBorders>
              <w:top w:val="single" w:sz="4" w:space="0" w:color="auto"/>
              <w:left w:val="nil"/>
              <w:bottom w:val="single" w:sz="4" w:space="0" w:color="auto"/>
              <w:right w:val="single" w:sz="4" w:space="0" w:color="auto"/>
            </w:tcBorders>
            <w:vAlign w:val="center"/>
          </w:tcPr>
          <w:p w:rsidR="00CE6A9F" w:rsidRDefault="00CE6A9F" w:rsidP="005642A6">
            <w:pPr>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color w:val="000000"/>
                <w:kern w:val="0"/>
                <w:sz w:val="24"/>
                <w:szCs w:val="24"/>
              </w:rPr>
              <w:t>责任人</w:t>
            </w:r>
          </w:p>
        </w:tc>
      </w:tr>
    </w:tbl>
    <w:p w:rsidR="00CE6A9F" w:rsidRDefault="00CE6A9F" w:rsidP="00CE6A9F">
      <w:pPr>
        <w:adjustRightInd w:val="0"/>
        <w:snapToGrid w:val="0"/>
        <w:spacing w:line="520" w:lineRule="exact"/>
        <w:ind w:firstLineChars="200" w:firstLine="480"/>
        <w:rPr>
          <w:rFonts w:ascii="宋体" w:eastAsia="宋体" w:hAnsi="Calibri" w:cs="Times New Roman"/>
          <w:sz w:val="24"/>
          <w:szCs w:val="24"/>
        </w:rPr>
      </w:pPr>
    </w:p>
    <w:p w:rsidR="00CE6A9F" w:rsidRDefault="00CE6A9F" w:rsidP="00CE6A9F">
      <w:pPr>
        <w:adjustRightInd w:val="0"/>
        <w:snapToGrid w:val="0"/>
        <w:spacing w:line="520" w:lineRule="exact"/>
        <w:rPr>
          <w:rFonts w:ascii="宋体" w:eastAsia="宋体" w:hAnsi="Times New Roman" w:cs="Times New Roman"/>
          <w:b/>
          <w:bCs/>
          <w:sz w:val="24"/>
          <w:szCs w:val="24"/>
        </w:rPr>
      </w:pPr>
      <w:r>
        <w:rPr>
          <w:rFonts w:ascii="宋体" w:eastAsia="宋体" w:hAnsi="宋体" w:cs="Times New Roman" w:hint="eastAsia"/>
          <w:b/>
          <w:bCs/>
          <w:sz w:val="24"/>
          <w:szCs w:val="24"/>
        </w:rPr>
        <w:t>（二）</w:t>
      </w:r>
      <w:r w:rsidRPr="00272981">
        <w:rPr>
          <w:rFonts w:ascii="宋体" w:eastAsia="宋体" w:hAnsi="宋体" w:cs="Times New Roman" w:hint="eastAsia"/>
          <w:b/>
          <w:bCs/>
          <w:sz w:val="24"/>
          <w:szCs w:val="24"/>
        </w:rPr>
        <w:t>Ⅲ级（一般）教学事故</w:t>
      </w:r>
    </w:p>
    <w:tbl>
      <w:tblPr>
        <w:tblW w:w="5000" w:type="pct"/>
        <w:jc w:val="center"/>
        <w:tblLook w:val="04A0" w:firstRow="1" w:lastRow="0" w:firstColumn="1" w:lastColumn="0" w:noHBand="0" w:noVBand="1"/>
      </w:tblPr>
      <w:tblGrid>
        <w:gridCol w:w="6931"/>
        <w:gridCol w:w="2129"/>
      </w:tblGrid>
      <w:tr w:rsidR="00CE6A9F" w:rsidTr="005642A6">
        <w:trPr>
          <w:jc w:val="center"/>
        </w:trPr>
        <w:tc>
          <w:tcPr>
            <w:tcW w:w="3825"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adjustRightInd w:val="0"/>
              <w:snapToGrid w:val="0"/>
              <w:spacing w:line="520" w:lineRule="exact"/>
              <w:jc w:val="center"/>
              <w:rPr>
                <w:rFonts w:ascii="宋体" w:eastAsia="宋体" w:hAnsi="Calibri" w:cs="Times New Roman"/>
                <w:b/>
                <w:bCs/>
                <w:sz w:val="24"/>
                <w:szCs w:val="24"/>
              </w:rPr>
            </w:pPr>
            <w:r>
              <w:rPr>
                <w:rFonts w:ascii="宋体" w:eastAsia="宋体" w:hAnsi="宋体" w:cs="Times New Roman" w:hint="eastAsia"/>
                <w:b/>
                <w:bCs/>
                <w:sz w:val="24"/>
                <w:szCs w:val="24"/>
              </w:rPr>
              <w:t>事故情况</w:t>
            </w:r>
          </w:p>
        </w:tc>
        <w:tc>
          <w:tcPr>
            <w:tcW w:w="1175" w:type="pct"/>
            <w:tcBorders>
              <w:top w:val="single" w:sz="4" w:space="0" w:color="auto"/>
              <w:left w:val="nil"/>
              <w:bottom w:val="single" w:sz="4" w:space="0" w:color="auto"/>
              <w:right w:val="single" w:sz="4" w:space="0" w:color="auto"/>
            </w:tcBorders>
            <w:vAlign w:val="center"/>
          </w:tcPr>
          <w:p w:rsidR="00CE6A9F" w:rsidRDefault="00CE6A9F" w:rsidP="005642A6">
            <w:pPr>
              <w:adjustRightInd w:val="0"/>
              <w:snapToGrid w:val="0"/>
              <w:spacing w:line="520" w:lineRule="exact"/>
              <w:jc w:val="center"/>
              <w:rPr>
                <w:rFonts w:ascii="宋体" w:eastAsia="宋体" w:hAnsi="Calibri" w:cs="Times New Roman"/>
                <w:b/>
                <w:bCs/>
                <w:sz w:val="24"/>
                <w:szCs w:val="24"/>
              </w:rPr>
            </w:pPr>
            <w:r>
              <w:rPr>
                <w:rFonts w:ascii="宋体" w:eastAsia="宋体" w:hAnsi="宋体" w:cs="Times New Roman" w:hint="eastAsia"/>
                <w:b/>
                <w:bCs/>
                <w:sz w:val="24"/>
                <w:szCs w:val="24"/>
              </w:rPr>
              <w:t>责任人</w:t>
            </w:r>
          </w:p>
        </w:tc>
      </w:tr>
      <w:tr w:rsidR="00CE6A9F" w:rsidTr="005642A6">
        <w:trPr>
          <w:trHeight w:val="862"/>
          <w:jc w:val="center"/>
        </w:trPr>
        <w:tc>
          <w:tcPr>
            <w:tcW w:w="3825"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1.因排课、排考不当造成教室使用冲突，致使教学（课表试运行期间除外）或考试延误或改期的，且没有采取措施及时予以更正。</w:t>
            </w:r>
          </w:p>
        </w:tc>
        <w:tc>
          <w:tcPr>
            <w:tcW w:w="1175"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trHeight w:val="782"/>
          <w:jc w:val="center"/>
        </w:trPr>
        <w:tc>
          <w:tcPr>
            <w:tcW w:w="3825"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2.由于调课或更换教室等原因，有关人员未通知到任课教师或学生，造成教学秩序混乱。</w:t>
            </w:r>
          </w:p>
        </w:tc>
        <w:tc>
          <w:tcPr>
            <w:tcW w:w="1175"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trHeight w:val="715"/>
          <w:jc w:val="center"/>
        </w:trPr>
        <w:tc>
          <w:tcPr>
            <w:tcW w:w="3825"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3.擅自更改教室或其它教学设施的用途而影响正常教学，且没有采取措施及时予以更正。</w:t>
            </w:r>
          </w:p>
        </w:tc>
        <w:tc>
          <w:tcPr>
            <w:tcW w:w="1175"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jc w:val="center"/>
        </w:trPr>
        <w:tc>
          <w:tcPr>
            <w:tcW w:w="3825"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4.因临时性安排全校性活动，通知或调度不及时，致使教学秩序混乱。</w:t>
            </w:r>
          </w:p>
        </w:tc>
        <w:tc>
          <w:tcPr>
            <w:tcW w:w="1175"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认定的当事人</w:t>
            </w:r>
          </w:p>
        </w:tc>
      </w:tr>
      <w:tr w:rsidR="00CE6A9F" w:rsidTr="005642A6">
        <w:trPr>
          <w:trHeight w:val="626"/>
          <w:jc w:val="center"/>
        </w:trPr>
        <w:tc>
          <w:tcPr>
            <w:tcW w:w="3825"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5.无特殊原因，未及时安排教学任务，影响正常教学。</w:t>
            </w:r>
          </w:p>
        </w:tc>
        <w:tc>
          <w:tcPr>
            <w:tcW w:w="1175"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trHeight w:val="579"/>
          <w:jc w:val="center"/>
        </w:trPr>
        <w:tc>
          <w:tcPr>
            <w:tcW w:w="3825"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sz w:val="24"/>
                <w:szCs w:val="24"/>
              </w:rPr>
            </w:pPr>
            <w:r>
              <w:rPr>
                <w:rFonts w:ascii="宋体" w:eastAsia="宋体" w:hAnsi="宋体" w:cs="Times New Roman" w:hint="eastAsia"/>
                <w:sz w:val="24"/>
                <w:szCs w:val="24"/>
              </w:rPr>
              <w:t>6.上报与实际严重不符的教学工作量、信息、数据。</w:t>
            </w:r>
          </w:p>
        </w:tc>
        <w:tc>
          <w:tcPr>
            <w:tcW w:w="1175"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sz w:val="24"/>
                <w:szCs w:val="24"/>
              </w:rPr>
            </w:pPr>
            <w:bookmarkStart w:id="2" w:name="OLE_LINK7"/>
            <w:r>
              <w:rPr>
                <w:rFonts w:ascii="宋体" w:eastAsia="宋体" w:hAnsi="宋体" w:cs="Times New Roman" w:hint="eastAsia"/>
                <w:sz w:val="24"/>
                <w:szCs w:val="24"/>
              </w:rPr>
              <w:t>相关当事人</w:t>
            </w:r>
            <w:bookmarkEnd w:id="2"/>
          </w:p>
        </w:tc>
      </w:tr>
      <w:tr w:rsidR="00CE6A9F" w:rsidTr="005642A6">
        <w:trPr>
          <w:trHeight w:val="801"/>
          <w:jc w:val="center"/>
        </w:trPr>
        <w:tc>
          <w:tcPr>
            <w:tcW w:w="3825"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sz w:val="24"/>
                <w:szCs w:val="24"/>
              </w:rPr>
            </w:pPr>
            <w:bookmarkStart w:id="3" w:name="OLE_LINK12"/>
            <w:r>
              <w:rPr>
                <w:rFonts w:ascii="宋体" w:eastAsia="宋体" w:hAnsi="宋体" w:cs="Times New Roman" w:hint="eastAsia"/>
                <w:sz w:val="24"/>
                <w:szCs w:val="24"/>
              </w:rPr>
              <w:t>7.</w:t>
            </w:r>
            <w:bookmarkEnd w:id="3"/>
            <w:r>
              <w:rPr>
                <w:rFonts w:ascii="宋体" w:eastAsia="宋体" w:hAnsi="宋体" w:cs="Times New Roman" w:hint="eastAsia"/>
                <w:sz w:val="24"/>
                <w:szCs w:val="24"/>
              </w:rPr>
              <w:t>对本部门所发生的一般教学事故故意隐瞒不报，或在调查中有意袒护或授意他人阻挠教学事故调查。</w:t>
            </w:r>
          </w:p>
        </w:tc>
        <w:tc>
          <w:tcPr>
            <w:tcW w:w="1175"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sz w:val="24"/>
                <w:szCs w:val="24"/>
              </w:rPr>
            </w:pPr>
            <w:r>
              <w:rPr>
                <w:rFonts w:ascii="宋体" w:eastAsia="宋体" w:hAnsi="宋体" w:cs="Times New Roman" w:hint="eastAsia"/>
                <w:sz w:val="24"/>
                <w:szCs w:val="24"/>
              </w:rPr>
              <w:t>部门主要负责人和分管负责人</w:t>
            </w:r>
          </w:p>
        </w:tc>
      </w:tr>
      <w:tr w:rsidR="00CE6A9F" w:rsidTr="005642A6">
        <w:trPr>
          <w:trHeight w:val="700"/>
          <w:jc w:val="center"/>
        </w:trPr>
        <w:tc>
          <w:tcPr>
            <w:tcW w:w="3825"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宋体" w:cs="Times New Roman"/>
                <w:color w:val="000000"/>
                <w:sz w:val="24"/>
                <w:szCs w:val="24"/>
              </w:rPr>
            </w:pPr>
            <w:bookmarkStart w:id="4" w:name="OLE_LINK37"/>
            <w:r>
              <w:rPr>
                <w:rFonts w:ascii="宋体" w:eastAsia="宋体" w:hAnsi="宋体" w:cs="Times New Roman" w:hint="eastAsia"/>
                <w:color w:val="000000"/>
                <w:sz w:val="24"/>
                <w:szCs w:val="24"/>
              </w:rPr>
              <w:t>8.</w:t>
            </w:r>
            <w:bookmarkEnd w:id="4"/>
            <w:r>
              <w:rPr>
                <w:rFonts w:ascii="宋体" w:eastAsia="宋体" w:hAnsi="宋体" w:cs="Times New Roman" w:hint="eastAsia"/>
                <w:color w:val="000000"/>
                <w:sz w:val="24"/>
                <w:szCs w:val="24"/>
              </w:rPr>
              <w:t>经认定程度相当的其它教学事故。</w:t>
            </w:r>
          </w:p>
        </w:tc>
        <w:tc>
          <w:tcPr>
            <w:tcW w:w="1175"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责任人</w:t>
            </w:r>
          </w:p>
        </w:tc>
      </w:tr>
    </w:tbl>
    <w:p w:rsidR="00CE6A9F" w:rsidRDefault="00CE6A9F" w:rsidP="00CE6A9F">
      <w:pPr>
        <w:adjustRightInd w:val="0"/>
        <w:snapToGrid w:val="0"/>
        <w:spacing w:line="520" w:lineRule="exact"/>
        <w:rPr>
          <w:rFonts w:ascii="宋体" w:eastAsia="宋体" w:hAnsi="Calibri" w:cs="Times New Roman"/>
          <w:b/>
          <w:bCs/>
          <w:sz w:val="24"/>
          <w:szCs w:val="24"/>
        </w:rPr>
      </w:pPr>
    </w:p>
    <w:p w:rsidR="00CE6A9F" w:rsidRDefault="00CE6A9F" w:rsidP="00CE6A9F">
      <w:pPr>
        <w:adjustRightInd w:val="0"/>
        <w:snapToGrid w:val="0"/>
        <w:spacing w:line="520" w:lineRule="exact"/>
        <w:rPr>
          <w:rFonts w:ascii="宋体" w:eastAsia="宋体" w:hAnsi="宋体" w:cs="Times New Roman"/>
          <w:b/>
          <w:bCs/>
          <w:sz w:val="24"/>
          <w:szCs w:val="24"/>
        </w:rPr>
      </w:pPr>
    </w:p>
    <w:p w:rsidR="00CE6A9F" w:rsidRDefault="00CE6A9F" w:rsidP="00CE6A9F">
      <w:pPr>
        <w:adjustRightInd w:val="0"/>
        <w:snapToGrid w:val="0"/>
        <w:spacing w:line="520" w:lineRule="exact"/>
        <w:rPr>
          <w:rFonts w:ascii="宋体" w:eastAsia="宋体" w:hAnsi="Times New Roman" w:cs="Times New Roman"/>
          <w:b/>
          <w:bCs/>
          <w:sz w:val="24"/>
          <w:szCs w:val="24"/>
        </w:rPr>
      </w:pPr>
      <w:r>
        <w:rPr>
          <w:rFonts w:ascii="宋体" w:eastAsia="宋体" w:hAnsi="宋体" w:cs="Times New Roman" w:hint="eastAsia"/>
          <w:b/>
          <w:bCs/>
          <w:sz w:val="24"/>
          <w:szCs w:val="24"/>
        </w:rPr>
        <w:lastRenderedPageBreak/>
        <w:t>（三）</w:t>
      </w:r>
      <w:r w:rsidRPr="00272981">
        <w:rPr>
          <w:rFonts w:ascii="宋体" w:eastAsia="宋体" w:hAnsi="宋体" w:cs="Times New Roman" w:hint="eastAsia"/>
          <w:b/>
          <w:bCs/>
          <w:sz w:val="24"/>
          <w:szCs w:val="24"/>
        </w:rPr>
        <w:t>Ⅱ级（较大）教学事故</w:t>
      </w:r>
    </w:p>
    <w:tbl>
      <w:tblPr>
        <w:tblW w:w="5000" w:type="pct"/>
        <w:jc w:val="center"/>
        <w:tblLook w:val="04A0" w:firstRow="1" w:lastRow="0" w:firstColumn="1" w:lastColumn="0" w:noHBand="0" w:noVBand="1"/>
      </w:tblPr>
      <w:tblGrid>
        <w:gridCol w:w="7210"/>
        <w:gridCol w:w="1850"/>
      </w:tblGrid>
      <w:tr w:rsidR="00CE6A9F" w:rsidTr="005642A6">
        <w:trPr>
          <w:jc w:val="center"/>
        </w:trPr>
        <w:tc>
          <w:tcPr>
            <w:tcW w:w="397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adjustRightInd w:val="0"/>
              <w:snapToGrid w:val="0"/>
              <w:spacing w:line="520" w:lineRule="exact"/>
              <w:jc w:val="center"/>
              <w:rPr>
                <w:rFonts w:ascii="宋体" w:eastAsia="宋体" w:hAnsi="Calibri" w:cs="Times New Roman"/>
                <w:b/>
                <w:bCs/>
                <w:sz w:val="24"/>
                <w:szCs w:val="24"/>
              </w:rPr>
            </w:pPr>
            <w:r>
              <w:rPr>
                <w:rFonts w:ascii="宋体" w:eastAsia="宋体" w:hAnsi="宋体" w:cs="Times New Roman" w:hint="eastAsia"/>
                <w:b/>
                <w:bCs/>
                <w:sz w:val="24"/>
                <w:szCs w:val="24"/>
              </w:rPr>
              <w:t>事故情况</w:t>
            </w:r>
          </w:p>
        </w:tc>
        <w:tc>
          <w:tcPr>
            <w:tcW w:w="1021" w:type="pct"/>
            <w:tcBorders>
              <w:top w:val="single" w:sz="4" w:space="0" w:color="auto"/>
              <w:left w:val="nil"/>
              <w:bottom w:val="single" w:sz="4" w:space="0" w:color="auto"/>
              <w:right w:val="single" w:sz="4" w:space="0" w:color="auto"/>
            </w:tcBorders>
            <w:vAlign w:val="center"/>
          </w:tcPr>
          <w:p w:rsidR="00CE6A9F" w:rsidRDefault="00CE6A9F" w:rsidP="005642A6">
            <w:pPr>
              <w:adjustRightInd w:val="0"/>
              <w:snapToGrid w:val="0"/>
              <w:spacing w:line="520" w:lineRule="exact"/>
              <w:jc w:val="center"/>
              <w:rPr>
                <w:rFonts w:ascii="宋体" w:eastAsia="宋体" w:hAnsi="Calibri" w:cs="Times New Roman"/>
                <w:b/>
                <w:bCs/>
                <w:sz w:val="24"/>
                <w:szCs w:val="24"/>
              </w:rPr>
            </w:pPr>
            <w:r>
              <w:rPr>
                <w:rFonts w:ascii="宋体" w:eastAsia="宋体" w:hAnsi="宋体" w:cs="Times New Roman" w:hint="eastAsia"/>
                <w:b/>
                <w:bCs/>
                <w:sz w:val="24"/>
                <w:szCs w:val="24"/>
              </w:rPr>
              <w:t>责任人</w:t>
            </w:r>
          </w:p>
        </w:tc>
      </w:tr>
      <w:tr w:rsidR="00CE6A9F" w:rsidTr="005642A6">
        <w:trPr>
          <w:jc w:val="center"/>
        </w:trPr>
        <w:tc>
          <w:tcPr>
            <w:tcW w:w="397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sz w:val="24"/>
                <w:szCs w:val="24"/>
              </w:rPr>
              <w:t>1.擅自出借或使用教室，而导致正常课表安排的课堂教学受到冲击。</w:t>
            </w:r>
          </w:p>
        </w:tc>
        <w:tc>
          <w:tcPr>
            <w:tcW w:w="102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trHeight w:val="585"/>
          <w:jc w:val="center"/>
        </w:trPr>
        <w:tc>
          <w:tcPr>
            <w:tcW w:w="397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sz w:val="24"/>
                <w:szCs w:val="24"/>
              </w:rPr>
            </w:pPr>
            <w:r>
              <w:rPr>
                <w:rFonts w:ascii="宋体" w:eastAsia="宋体" w:hAnsi="宋体" w:cs="Times New Roman" w:hint="eastAsia"/>
                <w:sz w:val="24"/>
                <w:szCs w:val="24"/>
              </w:rPr>
              <w:t>2.</w:t>
            </w:r>
            <w:r>
              <w:rPr>
                <w:rFonts w:ascii="宋体" w:eastAsia="宋体" w:hAnsi="宋体" w:cs="Times New Roman" w:hint="eastAsia"/>
                <w:color w:val="000000"/>
                <w:sz w:val="24"/>
                <w:szCs w:val="24"/>
              </w:rPr>
              <w:t>未把上课、考试的时间地点及时通知到相关教师或学生，造成停课、停考。</w:t>
            </w:r>
          </w:p>
        </w:tc>
        <w:tc>
          <w:tcPr>
            <w:tcW w:w="102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sz w:val="24"/>
                <w:szCs w:val="24"/>
              </w:rPr>
            </w:pPr>
            <w:r>
              <w:rPr>
                <w:rFonts w:ascii="宋体" w:eastAsia="宋体" w:hAnsi="宋体" w:cs="Times New Roman" w:hint="eastAsia"/>
                <w:sz w:val="24"/>
                <w:szCs w:val="24"/>
              </w:rPr>
              <w:t>相关当事人</w:t>
            </w:r>
          </w:p>
        </w:tc>
      </w:tr>
      <w:tr w:rsidR="00CE6A9F" w:rsidTr="005642A6">
        <w:trPr>
          <w:trHeight w:val="586"/>
          <w:jc w:val="center"/>
        </w:trPr>
        <w:tc>
          <w:tcPr>
            <w:tcW w:w="397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3.擅自调整或变更人才培养方案开设的课程或已经执行的课程表。</w:t>
            </w:r>
          </w:p>
        </w:tc>
        <w:tc>
          <w:tcPr>
            <w:tcW w:w="102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trHeight w:val="622"/>
          <w:jc w:val="center"/>
        </w:trPr>
        <w:tc>
          <w:tcPr>
            <w:tcW w:w="397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4.未按要求对试卷进行形式审核，致使制卷不规范、试卷印刷装订存在错误或试卷印数不足，影响考试正常进行。</w:t>
            </w:r>
          </w:p>
        </w:tc>
        <w:tc>
          <w:tcPr>
            <w:tcW w:w="102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trHeight w:val="607"/>
          <w:jc w:val="center"/>
        </w:trPr>
        <w:tc>
          <w:tcPr>
            <w:tcW w:w="397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adjustRightInd w:val="0"/>
              <w:snapToGrid w:val="0"/>
              <w:spacing w:line="52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5.在考试安排中漏排班级、考试课程，严重影响考试的正常秩序。</w:t>
            </w:r>
          </w:p>
        </w:tc>
        <w:tc>
          <w:tcPr>
            <w:tcW w:w="102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trHeight w:val="614"/>
          <w:jc w:val="center"/>
        </w:trPr>
        <w:tc>
          <w:tcPr>
            <w:tcW w:w="397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6.错发或遗失学生毕业证书（学位证书）。</w:t>
            </w:r>
          </w:p>
        </w:tc>
        <w:tc>
          <w:tcPr>
            <w:tcW w:w="102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Times New Roman" w:cs="Times New Roman" w:hint="eastAsia"/>
                <w:color w:val="000000"/>
                <w:sz w:val="24"/>
                <w:szCs w:val="24"/>
              </w:rPr>
              <w:t>相关当事人</w:t>
            </w:r>
          </w:p>
        </w:tc>
      </w:tr>
      <w:tr w:rsidR="00CE6A9F" w:rsidTr="005642A6">
        <w:trPr>
          <w:trHeight w:val="835"/>
          <w:jc w:val="center"/>
        </w:trPr>
        <w:tc>
          <w:tcPr>
            <w:tcW w:w="397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7.审查不认真，出具与事实严重不符的学历、学籍、成绩等各类证书、证明。</w:t>
            </w:r>
          </w:p>
        </w:tc>
        <w:tc>
          <w:tcPr>
            <w:tcW w:w="102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trHeight w:val="835"/>
          <w:jc w:val="center"/>
        </w:trPr>
        <w:tc>
          <w:tcPr>
            <w:tcW w:w="397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sz w:val="24"/>
                <w:szCs w:val="24"/>
              </w:rPr>
            </w:pPr>
            <w:r>
              <w:rPr>
                <w:rFonts w:ascii="宋体" w:eastAsia="宋体" w:hAnsi="宋体" w:cs="Times New Roman" w:hint="eastAsia"/>
                <w:sz w:val="24"/>
                <w:szCs w:val="24"/>
              </w:rPr>
              <w:t>8.丢失学生试卷、考试成绩、毕业论文、</w:t>
            </w:r>
            <w:r>
              <w:rPr>
                <w:rFonts w:ascii="宋体" w:eastAsia="宋体" w:hAnsi="宋体" w:cs="Times New Roman" w:hint="eastAsia"/>
                <w:color w:val="000000"/>
                <w:sz w:val="24"/>
                <w:szCs w:val="24"/>
              </w:rPr>
              <w:t>学籍档案</w:t>
            </w:r>
            <w:r>
              <w:rPr>
                <w:rFonts w:ascii="宋体" w:eastAsia="宋体" w:hAnsi="宋体" w:cs="Times New Roman" w:hint="eastAsia"/>
                <w:sz w:val="24"/>
                <w:szCs w:val="24"/>
              </w:rPr>
              <w:t>等重要教学管理档案，并造成严重后果。</w:t>
            </w:r>
          </w:p>
        </w:tc>
        <w:tc>
          <w:tcPr>
            <w:tcW w:w="102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sz w:val="24"/>
                <w:szCs w:val="24"/>
              </w:rPr>
            </w:pPr>
            <w:r>
              <w:rPr>
                <w:rFonts w:ascii="宋体" w:eastAsia="宋体" w:hAnsi="宋体" w:cs="Times New Roman" w:hint="eastAsia"/>
                <w:sz w:val="24"/>
                <w:szCs w:val="24"/>
              </w:rPr>
              <w:t>相关当事人</w:t>
            </w:r>
          </w:p>
        </w:tc>
      </w:tr>
      <w:tr w:rsidR="00CE6A9F" w:rsidTr="005642A6">
        <w:trPr>
          <w:jc w:val="center"/>
        </w:trPr>
        <w:tc>
          <w:tcPr>
            <w:tcW w:w="397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9.对本部门所发生的严重教学事故故意隐瞒不报，或在调查中有意袒护或授意他人阻挠教学事故调查。</w:t>
            </w:r>
          </w:p>
        </w:tc>
        <w:tc>
          <w:tcPr>
            <w:tcW w:w="102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bookmarkStart w:id="5" w:name="OLE_LINK40"/>
            <w:r>
              <w:rPr>
                <w:rFonts w:ascii="宋体" w:eastAsia="宋体" w:hAnsi="宋体" w:cs="Times New Roman" w:hint="eastAsia"/>
                <w:color w:val="000000"/>
                <w:sz w:val="24"/>
                <w:szCs w:val="24"/>
              </w:rPr>
              <w:t>部门</w:t>
            </w:r>
            <w:bookmarkEnd w:id="5"/>
            <w:r>
              <w:rPr>
                <w:rFonts w:ascii="宋体" w:eastAsia="宋体" w:hAnsi="宋体" w:cs="Times New Roman" w:hint="eastAsia"/>
                <w:color w:val="000000"/>
                <w:sz w:val="24"/>
                <w:szCs w:val="24"/>
              </w:rPr>
              <w:t>主要负责人和分管负责人</w:t>
            </w:r>
          </w:p>
        </w:tc>
      </w:tr>
      <w:tr w:rsidR="00CE6A9F" w:rsidTr="005642A6">
        <w:trPr>
          <w:trHeight w:val="546"/>
          <w:jc w:val="center"/>
        </w:trPr>
        <w:tc>
          <w:tcPr>
            <w:tcW w:w="397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10.经认定程度相当的其它教学事故。</w:t>
            </w:r>
          </w:p>
        </w:tc>
        <w:tc>
          <w:tcPr>
            <w:tcW w:w="102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kern w:val="0"/>
                <w:sz w:val="24"/>
                <w:szCs w:val="24"/>
              </w:rPr>
              <w:t>责任人</w:t>
            </w:r>
          </w:p>
        </w:tc>
      </w:tr>
    </w:tbl>
    <w:p w:rsidR="00CE6A9F" w:rsidRDefault="00CE6A9F" w:rsidP="00CE6A9F">
      <w:pPr>
        <w:adjustRightInd w:val="0"/>
        <w:snapToGrid w:val="0"/>
        <w:spacing w:line="520" w:lineRule="exact"/>
        <w:rPr>
          <w:rFonts w:ascii="宋体" w:eastAsia="宋体" w:hAnsi="宋体" w:cs="Times New Roman"/>
          <w:b/>
          <w:bCs/>
          <w:sz w:val="24"/>
          <w:szCs w:val="24"/>
        </w:rPr>
      </w:pPr>
    </w:p>
    <w:p w:rsidR="00CE6A9F" w:rsidRDefault="00CE6A9F" w:rsidP="00CE6A9F">
      <w:pPr>
        <w:adjustRightInd w:val="0"/>
        <w:snapToGrid w:val="0"/>
        <w:spacing w:line="520" w:lineRule="exact"/>
        <w:rPr>
          <w:rFonts w:ascii="??_GB2312" w:eastAsia="Times New Roman" w:hAnsi="宋体" w:cs="Times New Roman"/>
          <w:b/>
          <w:bCs/>
          <w:sz w:val="28"/>
          <w:szCs w:val="28"/>
        </w:rPr>
      </w:pPr>
      <w:r>
        <w:rPr>
          <w:rFonts w:ascii="宋体" w:eastAsia="宋体" w:hAnsi="宋体" w:cs="Times New Roman" w:hint="eastAsia"/>
          <w:b/>
          <w:bCs/>
          <w:sz w:val="24"/>
          <w:szCs w:val="24"/>
        </w:rPr>
        <w:t>（四）</w:t>
      </w:r>
      <w:r w:rsidRPr="00272981">
        <w:rPr>
          <w:rFonts w:ascii="宋体" w:eastAsia="宋体" w:hAnsi="宋体" w:cs="Times New Roman" w:hint="eastAsia"/>
          <w:b/>
          <w:bCs/>
          <w:sz w:val="24"/>
          <w:szCs w:val="24"/>
        </w:rPr>
        <w:t>Ⅰ级（重大）教学事故</w:t>
      </w:r>
    </w:p>
    <w:tbl>
      <w:tblPr>
        <w:tblW w:w="5000" w:type="pct"/>
        <w:jc w:val="center"/>
        <w:tblLook w:val="04A0" w:firstRow="1" w:lastRow="0" w:firstColumn="1" w:lastColumn="0" w:noHBand="0" w:noVBand="1"/>
      </w:tblPr>
      <w:tblGrid>
        <w:gridCol w:w="7228"/>
        <w:gridCol w:w="1832"/>
      </w:tblGrid>
      <w:tr w:rsidR="00CE6A9F" w:rsidTr="005642A6">
        <w:trPr>
          <w:jc w:val="center"/>
        </w:trPr>
        <w:tc>
          <w:tcPr>
            <w:tcW w:w="398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adjustRightInd w:val="0"/>
              <w:snapToGrid w:val="0"/>
              <w:spacing w:line="520" w:lineRule="exact"/>
              <w:jc w:val="center"/>
              <w:rPr>
                <w:rFonts w:ascii="宋体" w:eastAsia="宋体" w:hAnsi="Calibri" w:cs="Times New Roman"/>
                <w:b/>
                <w:bCs/>
                <w:sz w:val="24"/>
                <w:szCs w:val="24"/>
              </w:rPr>
            </w:pPr>
            <w:bookmarkStart w:id="6" w:name="OLE_LINK35"/>
            <w:r>
              <w:rPr>
                <w:rFonts w:ascii="宋体" w:eastAsia="宋体" w:hAnsi="宋体" w:cs="Times New Roman" w:hint="eastAsia"/>
                <w:b/>
                <w:bCs/>
                <w:sz w:val="24"/>
                <w:szCs w:val="24"/>
              </w:rPr>
              <w:t>事故情况</w:t>
            </w:r>
            <w:bookmarkEnd w:id="6"/>
          </w:p>
        </w:tc>
        <w:tc>
          <w:tcPr>
            <w:tcW w:w="1011" w:type="pct"/>
            <w:tcBorders>
              <w:top w:val="single" w:sz="4" w:space="0" w:color="auto"/>
              <w:left w:val="nil"/>
              <w:bottom w:val="single" w:sz="4" w:space="0" w:color="auto"/>
              <w:right w:val="single" w:sz="4" w:space="0" w:color="auto"/>
            </w:tcBorders>
            <w:vAlign w:val="center"/>
          </w:tcPr>
          <w:p w:rsidR="00CE6A9F" w:rsidRDefault="00CE6A9F" w:rsidP="005642A6">
            <w:pPr>
              <w:adjustRightInd w:val="0"/>
              <w:snapToGrid w:val="0"/>
              <w:spacing w:line="520" w:lineRule="exact"/>
              <w:jc w:val="center"/>
              <w:rPr>
                <w:rFonts w:ascii="宋体" w:eastAsia="宋体" w:hAnsi="Calibri" w:cs="Times New Roman"/>
                <w:b/>
                <w:bCs/>
                <w:sz w:val="24"/>
                <w:szCs w:val="24"/>
              </w:rPr>
            </w:pPr>
            <w:r>
              <w:rPr>
                <w:rFonts w:ascii="宋体" w:eastAsia="宋体" w:hAnsi="宋体" w:cs="Times New Roman" w:hint="eastAsia"/>
                <w:b/>
                <w:bCs/>
                <w:sz w:val="24"/>
                <w:szCs w:val="24"/>
              </w:rPr>
              <w:t>责任人</w:t>
            </w:r>
          </w:p>
        </w:tc>
      </w:tr>
      <w:tr w:rsidR="00CE6A9F" w:rsidTr="005642A6">
        <w:trPr>
          <w:trHeight w:val="665"/>
          <w:jc w:val="center"/>
        </w:trPr>
        <w:tc>
          <w:tcPr>
            <w:tcW w:w="398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1.因管理不完善，在教学活动中造成学生严重的人身伤害（亡）。</w:t>
            </w:r>
          </w:p>
        </w:tc>
        <w:tc>
          <w:tcPr>
            <w:tcW w:w="101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trHeight w:val="690"/>
          <w:jc w:val="center"/>
        </w:trPr>
        <w:tc>
          <w:tcPr>
            <w:tcW w:w="398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2.为谋取不正当利益，在填报的教学报表中故意填写虚假数据且不认真审核，给学校造成损失或恶劣影响的。</w:t>
            </w:r>
          </w:p>
        </w:tc>
        <w:tc>
          <w:tcPr>
            <w:tcW w:w="101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trHeight w:val="955"/>
          <w:jc w:val="center"/>
        </w:trPr>
        <w:tc>
          <w:tcPr>
            <w:tcW w:w="398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3.违反规定，给不具备资格的学生发放毕业证书或学位证书或出具与实际严重不符的成绩、学籍、学历证明。</w:t>
            </w:r>
          </w:p>
        </w:tc>
        <w:tc>
          <w:tcPr>
            <w:tcW w:w="101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trHeight w:val="645"/>
          <w:jc w:val="center"/>
        </w:trPr>
        <w:tc>
          <w:tcPr>
            <w:tcW w:w="398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4.考试时试卷及其它有关工作未准备就绪，致使考试无法进行。</w:t>
            </w:r>
          </w:p>
        </w:tc>
        <w:tc>
          <w:tcPr>
            <w:tcW w:w="101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考试组织者</w:t>
            </w:r>
          </w:p>
        </w:tc>
      </w:tr>
      <w:tr w:rsidR="00CE6A9F" w:rsidTr="005642A6">
        <w:trPr>
          <w:trHeight w:val="955"/>
          <w:jc w:val="center"/>
        </w:trPr>
        <w:tc>
          <w:tcPr>
            <w:tcW w:w="398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lastRenderedPageBreak/>
              <w:t>5.故意隐瞒或混淆事实，通过欺骗等手段，致使管理人员开具错误或虚假的证书、证明材料。</w:t>
            </w:r>
          </w:p>
        </w:tc>
        <w:tc>
          <w:tcPr>
            <w:tcW w:w="101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隐瞒事实的当事人</w:t>
            </w:r>
          </w:p>
        </w:tc>
      </w:tr>
      <w:tr w:rsidR="00CE6A9F" w:rsidTr="005642A6">
        <w:trPr>
          <w:trHeight w:val="557"/>
          <w:jc w:val="center"/>
        </w:trPr>
        <w:tc>
          <w:tcPr>
            <w:tcW w:w="398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6.选择使用严重违犯国家法律、法规的教材，又未及时作处理。</w:t>
            </w:r>
          </w:p>
        </w:tc>
        <w:tc>
          <w:tcPr>
            <w:tcW w:w="101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相关当事人</w:t>
            </w:r>
          </w:p>
        </w:tc>
      </w:tr>
      <w:tr w:rsidR="00CE6A9F" w:rsidTr="005642A6">
        <w:trPr>
          <w:trHeight w:val="1000"/>
          <w:jc w:val="center"/>
        </w:trPr>
        <w:tc>
          <w:tcPr>
            <w:tcW w:w="398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spacing w:line="40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7.对本部门所发生的重大教学事故故意隐瞒不报，或在调查中有意袒护或授意他人阻挠教学事故调查。</w:t>
            </w:r>
          </w:p>
        </w:tc>
        <w:tc>
          <w:tcPr>
            <w:tcW w:w="1011" w:type="pct"/>
            <w:tcBorders>
              <w:top w:val="single" w:sz="4" w:space="0" w:color="auto"/>
              <w:left w:val="nil"/>
              <w:bottom w:val="single" w:sz="4" w:space="0" w:color="auto"/>
              <w:right w:val="single" w:sz="4" w:space="0" w:color="auto"/>
            </w:tcBorders>
            <w:vAlign w:val="center"/>
          </w:tcPr>
          <w:p w:rsidR="00CE6A9F" w:rsidRDefault="00CE6A9F" w:rsidP="005642A6">
            <w:pPr>
              <w:spacing w:line="400" w:lineRule="exact"/>
              <w:jc w:val="center"/>
              <w:rPr>
                <w:rFonts w:ascii="宋体" w:eastAsia="宋体" w:hAnsi="Calibri" w:cs="Times New Roman"/>
                <w:color w:val="000000"/>
                <w:sz w:val="24"/>
                <w:szCs w:val="24"/>
              </w:rPr>
            </w:pPr>
            <w:r>
              <w:rPr>
                <w:rFonts w:ascii="宋体" w:eastAsia="宋体" w:hAnsi="宋体" w:cs="Times New Roman" w:hint="eastAsia"/>
                <w:color w:val="000000"/>
                <w:sz w:val="24"/>
                <w:szCs w:val="24"/>
              </w:rPr>
              <w:t>部门主要负责人和分管负责人</w:t>
            </w:r>
          </w:p>
        </w:tc>
      </w:tr>
      <w:tr w:rsidR="00CE6A9F" w:rsidTr="005642A6">
        <w:trPr>
          <w:trHeight w:val="626"/>
          <w:jc w:val="center"/>
        </w:trPr>
        <w:tc>
          <w:tcPr>
            <w:tcW w:w="3989" w:type="pct"/>
            <w:tcBorders>
              <w:top w:val="single" w:sz="4" w:space="0" w:color="auto"/>
              <w:left w:val="single" w:sz="4" w:space="0" w:color="auto"/>
              <w:bottom w:val="single" w:sz="4" w:space="0" w:color="auto"/>
              <w:right w:val="single" w:sz="4" w:space="0" w:color="auto"/>
            </w:tcBorders>
            <w:vAlign w:val="center"/>
          </w:tcPr>
          <w:p w:rsidR="00CE6A9F" w:rsidRDefault="00CE6A9F" w:rsidP="005642A6">
            <w:pPr>
              <w:adjustRightInd w:val="0"/>
              <w:snapToGrid w:val="0"/>
              <w:spacing w:line="520" w:lineRule="exact"/>
              <w:rPr>
                <w:rFonts w:ascii="宋体" w:eastAsia="宋体" w:hAnsi="Calibri" w:cs="Times New Roman"/>
                <w:color w:val="000000"/>
                <w:sz w:val="24"/>
                <w:szCs w:val="24"/>
              </w:rPr>
            </w:pPr>
            <w:r>
              <w:rPr>
                <w:rFonts w:ascii="宋体" w:eastAsia="宋体" w:hAnsi="宋体" w:cs="Times New Roman" w:hint="eastAsia"/>
                <w:color w:val="000000"/>
                <w:sz w:val="24"/>
                <w:szCs w:val="24"/>
              </w:rPr>
              <w:t>8.经认定程度相当的其它教学事故。</w:t>
            </w:r>
          </w:p>
        </w:tc>
        <w:tc>
          <w:tcPr>
            <w:tcW w:w="1011" w:type="pct"/>
            <w:tcBorders>
              <w:top w:val="single" w:sz="4" w:space="0" w:color="auto"/>
              <w:left w:val="nil"/>
              <w:bottom w:val="single" w:sz="4" w:space="0" w:color="auto"/>
              <w:right w:val="single" w:sz="4" w:space="0" w:color="auto"/>
            </w:tcBorders>
            <w:vAlign w:val="center"/>
          </w:tcPr>
          <w:p w:rsidR="00CE6A9F" w:rsidRDefault="00CE6A9F" w:rsidP="005642A6">
            <w:pPr>
              <w:adjustRightInd w:val="0"/>
              <w:snapToGrid w:val="0"/>
              <w:spacing w:line="520" w:lineRule="exact"/>
              <w:jc w:val="center"/>
              <w:rPr>
                <w:rFonts w:ascii="宋体" w:eastAsia="宋体" w:hAnsi="Calibri" w:cs="Times New Roman"/>
                <w:color w:val="000000"/>
                <w:sz w:val="24"/>
                <w:szCs w:val="24"/>
              </w:rPr>
            </w:pPr>
            <w:r>
              <w:rPr>
                <w:rFonts w:ascii="宋体" w:eastAsia="宋体" w:hAnsi="宋体" w:cs="Times New Roman" w:hint="eastAsia"/>
                <w:color w:val="000000"/>
                <w:kern w:val="0"/>
                <w:sz w:val="24"/>
                <w:szCs w:val="24"/>
              </w:rPr>
              <w:t>责任人</w:t>
            </w:r>
          </w:p>
        </w:tc>
      </w:tr>
    </w:tbl>
    <w:p w:rsidR="00BE1A8E" w:rsidRDefault="00BE1A8E" w:rsidP="00611CF9"/>
    <w:sectPr w:rsidR="00BE1A8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EED" w:rsidRDefault="004E2EED" w:rsidP="00F624E1">
      <w:r>
        <w:separator/>
      </w:r>
    </w:p>
  </w:endnote>
  <w:endnote w:type="continuationSeparator" w:id="0">
    <w:p w:rsidR="004E2EED" w:rsidRDefault="004E2EED" w:rsidP="00F6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EED" w:rsidRDefault="004E2EED" w:rsidP="00F624E1">
      <w:r>
        <w:separator/>
      </w:r>
    </w:p>
  </w:footnote>
  <w:footnote w:type="continuationSeparator" w:id="0">
    <w:p w:rsidR="004E2EED" w:rsidRDefault="004E2EED" w:rsidP="00F62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9F"/>
    <w:rsid w:val="004E2EED"/>
    <w:rsid w:val="00611CF9"/>
    <w:rsid w:val="00710FFD"/>
    <w:rsid w:val="009D198F"/>
    <w:rsid w:val="00BE1A8E"/>
    <w:rsid w:val="00CE6A9F"/>
    <w:rsid w:val="00F6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C2AED5-A50B-4326-8A8E-698575DE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62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24E1"/>
    <w:rPr>
      <w:sz w:val="18"/>
      <w:szCs w:val="18"/>
    </w:rPr>
  </w:style>
  <w:style w:type="paragraph" w:styleId="a5">
    <w:name w:val="footer"/>
    <w:basedOn w:val="a"/>
    <w:link w:val="Char0"/>
    <w:uiPriority w:val="99"/>
    <w:unhideWhenUsed/>
    <w:rsid w:val="00F624E1"/>
    <w:pPr>
      <w:tabs>
        <w:tab w:val="center" w:pos="4153"/>
        <w:tab w:val="right" w:pos="8306"/>
      </w:tabs>
      <w:snapToGrid w:val="0"/>
      <w:jc w:val="left"/>
    </w:pPr>
    <w:rPr>
      <w:sz w:val="18"/>
      <w:szCs w:val="18"/>
    </w:rPr>
  </w:style>
  <w:style w:type="character" w:customStyle="1" w:styleId="Char0">
    <w:name w:val="页脚 Char"/>
    <w:basedOn w:val="a0"/>
    <w:link w:val="a5"/>
    <w:uiPriority w:val="99"/>
    <w:rsid w:val="00F624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刘云</dc:creator>
  <cp:keywords/>
  <dc:description/>
  <cp:lastModifiedBy>刘云</cp:lastModifiedBy>
  <cp:revision>4</cp:revision>
  <dcterms:created xsi:type="dcterms:W3CDTF">2019-05-27T06:34:00Z</dcterms:created>
  <dcterms:modified xsi:type="dcterms:W3CDTF">2019-05-27T06:36:00Z</dcterms:modified>
</cp:coreProperties>
</file>